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80"/>
        <w:jc w:val="center"/>
      </w:pPr>
      <w:r>
        <w:rPr>
          <w:b/>
          <w:color w:val="111827"/>
          <w:sz w:val="40"/>
        </w:rPr>
        <w:t>BRYAN ST. JOHN</w:t>
      </w:r>
    </w:p>
    <w:p>
      <w:pPr>
        <w:spacing w:before="0" w:after="200"/>
        <w:jc w:val="center"/>
      </w:pPr>
      <w:r>
        <w:rPr>
          <w:color w:val="555555"/>
          <w:sz w:val="18"/>
        </w:rPr>
        <w:t>Lakewood, CO</w:t>
      </w:r>
      <w:r>
        <w:rPr>
          <w:color w:val="888888"/>
          <w:sz w:val="18"/>
        </w:rPr>
        <w:t xml:space="preserve">  |  </w:t>
      </w:r>
      <w:r>
        <w:rPr>
          <w:color w:val="555555"/>
          <w:sz w:val="18"/>
        </w:rPr>
        <w:t>stjohn.bryan@gmail.com</w:t>
      </w:r>
      <w:r>
        <w:rPr>
          <w:color w:val="888888"/>
          <w:sz w:val="18"/>
        </w:rPr>
        <w:t xml:space="preserve">  |  </w:t>
      </w:r>
      <w:r>
        <w:rPr>
          <w:color w:val="555555"/>
          <w:sz w:val="18"/>
        </w:rPr>
        <w:t>303-883-1683</w:t>
      </w:r>
      <w:r>
        <w:rPr>
          <w:color w:val="888888"/>
          <w:sz w:val="18"/>
        </w:rPr>
        <w:t xml:space="preserve">  |  </w:t>
      </w:r>
      <w:r>
        <w:rPr>
          <w:color w:val="555555"/>
          <w:sz w:val="18"/>
        </w:rPr>
        <w:t>LinkedIn Profile</w:t>
      </w:r>
      <w:r>
        <w:rPr>
          <w:color w:val="888888"/>
          <w:sz w:val="18"/>
        </w:rPr>
        <w:t xml:space="preserve">  |  </w:t>
      </w:r>
      <w:r>
        <w:rPr>
          <w:color w:val="555555"/>
          <w:sz w:val="18"/>
        </w:rPr>
        <w:t>bryanstjohn.com</w:t>
      </w:r>
    </w:p>
    <w:p>
      <w:pPr>
        <w:keepNext/>
        <w:spacing w:before="240" w:after="80"/>
        <w:pBdr>
          <w:bottom w:val="single" w:sz="6" w:space="2" w:color="A0A0A0"/>
        </w:pBdr>
      </w:pPr>
      <w:r>
        <w:rPr>
          <w:b/>
          <w:color w:val="1E3A8A"/>
          <w:sz w:val="22"/>
        </w:rPr>
        <w:t>SUMMARY</w:t>
      </w:r>
    </w:p>
    <w:p>
      <w:pPr>
        <w:spacing w:before="0" w:after="80" w:line="276" w:lineRule="auto"/>
      </w:pPr>
      <w:r>
        <w:rPr>
          <w:b/>
        </w:rPr>
        <w:t>Experienced Product Leader</w:t>
      </w:r>
      <w:r>
        <w:t xml:space="preserve"> with 10+ years driving FinTech and B2B/B2C SaaS innovation. Expert in implementing cutting-edge, AI-enabled product management workflows, leveraging frontier models (</w:t>
      </w:r>
      <w:r>
        <w:rPr>
          <w:b/>
        </w:rPr>
        <w:t>Claude Code</w:t>
      </w:r>
      <w:r>
        <w:t xml:space="preserve">, </w:t>
      </w:r>
      <w:r>
        <w:rPr>
          <w:b/>
        </w:rPr>
        <w:t>Gemini</w:t>
      </w:r>
      <w:r>
        <w:t xml:space="preserve">, </w:t>
      </w:r>
      <w:r>
        <w:rPr>
          <w:b/>
        </w:rPr>
        <w:t>Codex</w:t>
      </w:r>
      <w:r>
        <w:t>) to accelerate software delivery, automate processes, and design premium user experiences. Proven track record of upskilling PM teams, directing enterprise-grade strategy, and translating complex data into high-leverage digital products.</w:t>
      </w:r>
    </w:p>
    <w:p>
      <w:pPr>
        <w:keepNext/>
        <w:spacing w:before="240" w:after="80"/>
        <w:pBdr>
          <w:bottom w:val="single" w:sz="6" w:space="2" w:color="A0A0A0"/>
        </w:pBdr>
      </w:pPr>
      <w:r>
        <w:rPr>
          <w:b/>
          <w:color w:val="1E3A8A"/>
          <w:sz w:val="22"/>
        </w:rPr>
        <w:t>EXPERIENCE</w:t>
      </w:r>
    </w:p>
    <w:p>
      <w:pPr>
        <w:keepNext/>
        <w:spacing w:before="160" w:after="40"/>
      </w:pPr>
      <w:r>
        <w:rPr>
          <w:b/>
          <w:color w:val="111827"/>
          <w:sz w:val="20"/>
        </w:rPr>
        <w:t>Product Manager Consultant</w:t>
      </w:r>
    </w:p>
    <w:p>
      <w:pPr>
        <w:keepNext/>
        <w:spacing w:before="0" w:after="80"/>
      </w:pPr>
      <w:r>
        <w:rPr>
          <w:color w:val="4B5563"/>
          <w:sz w:val="19"/>
        </w:rPr>
      </w:r>
      <w:r>
        <w:rPr>
          <w:b/>
          <w:color w:val="4B5563"/>
          <w:sz w:val="19"/>
        </w:rPr>
        <w:t>CHARTER COMMUNICATIONS (SPECTRUM)</w:t>
      </w:r>
      <w:r>
        <w:rPr>
          <w:color w:val="4B5563"/>
          <w:sz w:val="19"/>
        </w:rPr>
        <w:t xml:space="preserve"> — Denver, CO | </w:t>
      </w:r>
      <w:r>
        <w:rPr>
          <w:i/>
          <w:color w:val="4B5563"/>
          <w:sz w:val="19"/>
        </w:rPr>
        <w:t>Mar 2026 – Present (Contract / Hybrid)</w:t>
      </w:r>
      <w:r>
        <w:rPr>
          <w:color w:val="4B5563"/>
          <w:sz w:val="19"/>
        </w:rPr>
      </w:r>
    </w:p>
    <w:p>
      <w:pPr>
        <w:pStyle w:val="ListBullet"/>
        <w:spacing w:before="0" w:after="50" w:line="276" w:lineRule="auto"/>
        <w:ind w:left="360"/>
      </w:pPr>
      <w:r>
        <w:t>AI SDLC enablement across the product management team, training and coaching Product Managers on leveraging LLMs in the Kiro IDE using Claude Code models.</w:t>
      </w:r>
    </w:p>
    <w:p>
      <w:pPr>
        <w:pStyle w:val="ListBullet"/>
        <w:spacing w:before="0" w:after="50" w:line="276" w:lineRule="auto"/>
        <w:ind w:left="360"/>
      </w:pPr>
      <w:r>
        <w:t>Helping redesign the Product Manager role to focus on modern AI-native workflows, empowering PMs to operate as high-leverage individual contributors who can prototype, design, map out processes, and build software using LLM-assisted tools.</w:t>
      </w:r>
    </w:p>
    <w:p>
      <w:pPr>
        <w:pStyle w:val="ListBullet"/>
        <w:spacing w:before="0" w:after="50" w:line="276" w:lineRule="auto"/>
        <w:ind w:left="360"/>
      </w:pPr>
      <w:r>
        <w:t>Integrating the workflow strategies for the user experience of the front-end websites and streaming applications for the Cox Communications merger.</w:t>
      </w:r>
    </w:p>
    <w:p>
      <w:pPr>
        <w:keepNext/>
        <w:spacing w:before="160" w:after="40"/>
      </w:pPr>
      <w:r>
        <w:rPr>
          <w:b/>
          <w:color w:val="111827"/>
          <w:sz w:val="20"/>
        </w:rPr>
        <w:t>Senior Product Manager, Broker-Dealer ATS Product</w:t>
      </w:r>
    </w:p>
    <w:p>
      <w:pPr>
        <w:keepNext/>
        <w:spacing w:before="0" w:after="80"/>
      </w:pPr>
      <w:r>
        <w:rPr>
          <w:color w:val="4B5563"/>
          <w:sz w:val="19"/>
        </w:rPr>
      </w:r>
      <w:r>
        <w:rPr>
          <w:b/>
          <w:color w:val="4B5563"/>
          <w:sz w:val="19"/>
        </w:rPr>
        <w:t>ETANA CUSTODY</w:t>
      </w:r>
      <w:r>
        <w:rPr>
          <w:color w:val="4B5563"/>
          <w:sz w:val="19"/>
        </w:rPr>
        <w:t xml:space="preserve"> — Lakewood, CO | </w:t>
      </w:r>
      <w:r>
        <w:rPr>
          <w:i/>
          <w:color w:val="4B5563"/>
          <w:sz w:val="19"/>
        </w:rPr>
        <w:t>Jan 2025 – Sep 2025 (firm shutdown due to funding)</w:t>
      </w:r>
      <w:r>
        <w:rPr>
          <w:color w:val="4B5563"/>
          <w:sz w:val="19"/>
        </w:rPr>
      </w:r>
    </w:p>
    <w:p>
      <w:pPr>
        <w:pStyle w:val="ListBullet"/>
        <w:spacing w:before="0" w:after="50" w:line="276" w:lineRule="auto"/>
        <w:ind w:left="360"/>
      </w:pPr>
      <w:r>
        <w:t>Architected and deployed an LLM-powered settlement engine in three weeks, automating trade parsing and multi-currency netting to replace manual reconciliation workflows.</w:t>
      </w:r>
    </w:p>
    <w:p>
      <w:pPr>
        <w:pStyle w:val="ListBullet"/>
        <w:spacing w:before="0" w:after="50" w:line="276" w:lineRule="auto"/>
        <w:ind w:left="360"/>
      </w:pPr>
      <w:r>
        <w:t>Defined the 9-month product strategy for a B2B custody platform, aligning API development with regional compliance requirements and institutional client needs.</w:t>
      </w:r>
    </w:p>
    <w:p>
      <w:pPr>
        <w:pStyle w:val="ListBullet"/>
        <w:spacing w:before="0" w:after="50" w:line="276" w:lineRule="auto"/>
        <w:ind w:left="360"/>
      </w:pPr>
      <w:r>
        <w:t>Orchestrated cross-functional delivery across engineering, security, and compliance, establishing SLA reliability standards for critical financial infrastructure.</w:t>
      </w:r>
    </w:p>
    <w:p>
      <w:pPr>
        <w:keepNext/>
        <w:spacing w:before="160" w:after="40"/>
      </w:pPr>
      <w:r>
        <w:rPr>
          <w:b/>
          <w:color w:val="111827"/>
          <w:sz w:val="20"/>
        </w:rPr>
        <w:t>Senior Product Manager, Account View (Investor Experience)</w:t>
      </w:r>
    </w:p>
    <w:p>
      <w:pPr>
        <w:keepNext/>
        <w:spacing w:before="0" w:after="80"/>
      </w:pPr>
      <w:r>
        <w:rPr>
          <w:color w:val="4B5563"/>
          <w:sz w:val="19"/>
        </w:rPr>
      </w:r>
      <w:r>
        <w:rPr>
          <w:b/>
          <w:color w:val="4B5563"/>
          <w:sz w:val="19"/>
        </w:rPr>
        <w:t>DEXIAN (Consulting with LPL Financial)</w:t>
      </w:r>
      <w:r>
        <w:rPr>
          <w:color w:val="4B5563"/>
          <w:sz w:val="19"/>
        </w:rPr>
        <w:t xml:space="preserve"> — Remote/Lakewood, CO | </w:t>
      </w:r>
      <w:r>
        <w:rPr>
          <w:i/>
          <w:color w:val="4B5563"/>
          <w:sz w:val="19"/>
        </w:rPr>
        <w:t>Jan 2024 – Jan 2025</w:t>
      </w:r>
      <w:r>
        <w:rPr>
          <w:color w:val="4B5563"/>
          <w:sz w:val="19"/>
        </w:rPr>
      </w:r>
    </w:p>
    <w:p>
      <w:pPr>
        <w:pStyle w:val="ListBullet"/>
        <w:spacing w:before="0" w:after="50" w:line="276" w:lineRule="auto"/>
        <w:ind w:left="360"/>
      </w:pPr>
      <w:r>
        <w:t>Directed the UX integration strategy for the Prudential-to-LPL migration, ensuring data integrity and system continuity for investor-facing web products.</w:t>
      </w:r>
    </w:p>
    <w:p>
      <w:pPr>
        <w:pStyle w:val="ListBullet"/>
        <w:spacing w:before="0" w:after="50" w:line="276" w:lineRule="auto"/>
        <w:ind w:left="360"/>
      </w:pPr>
      <w:r>
        <w:t>Managed stakeholder alignment on critical conversion timelines, designing data migration protocols that minimized service disruption.</w:t>
      </w:r>
    </w:p>
    <w:p>
      <w:pPr>
        <w:pStyle w:val="ListBullet"/>
        <w:spacing w:before="0" w:after="50" w:line="276" w:lineRule="auto"/>
        <w:ind w:left="360"/>
      </w:pPr>
      <w:r>
        <w:t>Owned the backlog and sprint planning to ensure on-time delivery of system integration milestones.</w:t>
      </w:r>
    </w:p>
    <w:p>
      <w:pPr>
        <w:keepNext/>
        <w:spacing w:before="160" w:after="40"/>
      </w:pPr>
      <w:r>
        <w:rPr>
          <w:b/>
          <w:color w:val="111827"/>
          <w:sz w:val="20"/>
        </w:rPr>
        <w:t>Head of Product</w:t>
      </w:r>
    </w:p>
    <w:p>
      <w:pPr>
        <w:keepNext/>
        <w:spacing w:before="0" w:after="80"/>
      </w:pPr>
      <w:r>
        <w:rPr>
          <w:color w:val="4B5563"/>
          <w:sz w:val="19"/>
        </w:rPr>
      </w:r>
      <w:r>
        <w:rPr>
          <w:b/>
          <w:color w:val="4B5563"/>
          <w:sz w:val="19"/>
        </w:rPr>
        <w:t>TONTINE TRUST</w:t>
      </w:r>
      <w:r>
        <w:rPr>
          <w:color w:val="4B5563"/>
          <w:sz w:val="19"/>
        </w:rPr>
        <w:t xml:space="preserve"> — Lakewood, CO | </w:t>
      </w:r>
      <w:r>
        <w:rPr>
          <w:i/>
          <w:color w:val="4B5563"/>
          <w:sz w:val="19"/>
        </w:rPr>
        <w:t>Aug 2023 – Jan 2024</w:t>
      </w:r>
      <w:r>
        <w:rPr>
          <w:color w:val="4B5563"/>
          <w:sz w:val="19"/>
        </w:rPr>
      </w:r>
    </w:p>
    <w:p>
      <w:pPr>
        <w:pStyle w:val="ListBullet"/>
        <w:spacing w:before="0" w:after="50" w:line="276" w:lineRule="auto"/>
        <w:ind w:left="360"/>
      </w:pPr>
      <w:r>
        <w:t>Established the product vision and roadmap for lifetime-income pensions, ensuring long-term alignment between business objectives and user experience.</w:t>
      </w:r>
    </w:p>
    <w:p>
      <w:pPr>
        <w:pStyle w:val="ListBullet"/>
        <w:spacing w:before="0" w:after="50" w:line="276" w:lineRule="auto"/>
        <w:ind w:left="360"/>
      </w:pPr>
      <w:r>
        <w:t>Led the integration of Identity, Accounting, and Distribution systems to optimize platform efficiency and operational reliability.</w:t>
      </w:r>
    </w:p>
    <w:p>
      <w:pPr>
        <w:keepNext/>
        <w:spacing w:before="160" w:after="40"/>
      </w:pPr>
      <w:r>
        <w:rPr>
          <w:b/>
          <w:color w:val="111827"/>
          <w:sz w:val="20"/>
        </w:rPr>
        <w:t>Senior Product Manager, Client Applications</w:t>
      </w:r>
    </w:p>
    <w:p>
      <w:pPr>
        <w:keepNext/>
        <w:spacing w:before="0" w:after="80"/>
      </w:pPr>
      <w:r>
        <w:rPr>
          <w:color w:val="4B5563"/>
          <w:sz w:val="19"/>
        </w:rPr>
      </w:r>
      <w:r>
        <w:rPr>
          <w:b/>
          <w:color w:val="4B5563"/>
          <w:sz w:val="19"/>
        </w:rPr>
        <w:t>TRADESTATION</w:t>
      </w:r>
      <w:r>
        <w:rPr>
          <w:color w:val="4B5563"/>
          <w:sz w:val="19"/>
        </w:rPr>
        <w:t xml:space="preserve"> — Lakewood, CO | </w:t>
      </w:r>
      <w:r>
        <w:rPr>
          <w:i/>
          <w:color w:val="4B5563"/>
          <w:sz w:val="19"/>
        </w:rPr>
        <w:t>Dec 2021 – Aug 2022 (SPAC funding failure 33% workforce reduction)</w:t>
      </w:r>
      <w:r>
        <w:rPr>
          <w:color w:val="4B5563"/>
          <w:sz w:val="19"/>
        </w:rPr>
      </w:r>
    </w:p>
    <w:p>
      <w:pPr>
        <w:pStyle w:val="ListBullet"/>
        <w:spacing w:before="0" w:after="50" w:line="276" w:lineRule="auto"/>
        <w:ind w:left="360"/>
      </w:pPr>
      <w:r>
        <w:t>Launched the retail web crypto trading application, introducing agile practices to accelerate feature delivery and improve team velocity.</w:t>
      </w:r>
    </w:p>
    <w:p>
      <w:pPr>
        <w:pStyle w:val="ListBullet"/>
        <w:spacing w:before="0" w:after="50" w:line="276" w:lineRule="auto"/>
        <w:ind w:left="360"/>
      </w:pPr>
      <w:r>
        <w:t>Developed a multi-year vision for client applications based on comprehensive market analysis and retail trading research.</w:t>
      </w:r>
    </w:p>
    <w:p>
      <w:pPr>
        <w:keepNext/>
        <w:spacing w:before="160" w:after="40"/>
      </w:pPr>
      <w:r>
        <w:rPr>
          <w:b/>
          <w:color w:val="111827"/>
          <w:sz w:val="20"/>
        </w:rPr>
        <w:t>Product Owner, Stock Plan Services</w:t>
      </w:r>
    </w:p>
    <w:p>
      <w:pPr>
        <w:keepNext/>
        <w:spacing w:before="0" w:after="80"/>
      </w:pPr>
      <w:r>
        <w:rPr>
          <w:color w:val="4B5563"/>
          <w:sz w:val="19"/>
        </w:rPr>
      </w:r>
      <w:r>
        <w:rPr>
          <w:b/>
          <w:color w:val="4B5563"/>
          <w:sz w:val="19"/>
        </w:rPr>
        <w:t>RANDSTAD (Consulting with Charles Schwab)</w:t>
      </w:r>
      <w:r>
        <w:rPr>
          <w:color w:val="4B5563"/>
          <w:sz w:val="19"/>
        </w:rPr>
        <w:t xml:space="preserve"> — Lone Tree, CO | </w:t>
      </w:r>
      <w:r>
        <w:rPr>
          <w:i/>
          <w:color w:val="4B5563"/>
          <w:sz w:val="19"/>
        </w:rPr>
        <w:t>Nov 2020 – Dec 2021</w:t>
      </w:r>
      <w:r>
        <w:rPr>
          <w:color w:val="4B5563"/>
          <w:sz w:val="19"/>
        </w:rPr>
      </w:r>
    </w:p>
    <w:p>
      <w:pPr>
        <w:pStyle w:val="ListBullet"/>
        <w:spacing w:before="0" w:after="50" w:line="276" w:lineRule="auto"/>
        <w:ind w:left="360"/>
      </w:pPr>
      <w:r>
        <w:t>Designed a scalable rules engine enabling institutional clients to configure firm-specific controls, directly addressing complex user requirements.</w:t>
      </w:r>
    </w:p>
    <w:p>
      <w:pPr>
        <w:pStyle w:val="ListBullet"/>
        <w:spacing w:before="0" w:after="50" w:line="276" w:lineRule="auto"/>
        <w:ind w:left="360"/>
      </w:pPr>
      <w:r>
        <w:t>Translated user research into a prioritized roadmap for a major product rewrite, enhancing performance and user outcomes across multiple releases.</w:t>
      </w:r>
    </w:p>
    <w:p>
      <w:pPr>
        <w:keepNext/>
        <w:spacing w:before="160" w:after="40"/>
      </w:pPr>
      <w:r>
        <w:rPr>
          <w:b/>
          <w:color w:val="111827"/>
          <w:sz w:val="20"/>
        </w:rPr>
        <w:t>Director of Product Management (Wealth/OMS)</w:t>
      </w:r>
    </w:p>
    <w:p>
      <w:pPr>
        <w:keepNext/>
        <w:spacing w:before="0" w:after="80"/>
      </w:pPr>
      <w:r>
        <w:rPr>
          <w:color w:val="4B5563"/>
          <w:sz w:val="19"/>
        </w:rPr>
      </w:r>
      <w:r>
        <w:rPr>
          <w:b/>
          <w:color w:val="4B5563"/>
          <w:sz w:val="19"/>
        </w:rPr>
        <w:t>BROADRIDGE</w:t>
      </w:r>
      <w:r>
        <w:rPr>
          <w:color w:val="4B5563"/>
          <w:sz w:val="19"/>
        </w:rPr>
        <w:t xml:space="preserve"> — Wheat Ridge, CO | </w:t>
      </w:r>
      <w:r>
        <w:rPr>
          <w:i/>
          <w:color w:val="4B5563"/>
          <w:sz w:val="19"/>
        </w:rPr>
        <w:t>Sep 2012 – Aug 2020</w:t>
      </w:r>
      <w:r>
        <w:rPr>
          <w:color w:val="4B5563"/>
          <w:sz w:val="19"/>
        </w:rPr>
      </w:r>
    </w:p>
    <w:p>
      <w:pPr>
        <w:pStyle w:val="ListBullet"/>
        <w:spacing w:before="0" w:after="50" w:line="276" w:lineRule="auto"/>
        <w:ind w:left="360"/>
      </w:pPr>
      <w:r>
        <w:rPr>
          <w:b/>
        </w:rPr>
        <w:t>People Manager</w:t>
      </w:r>
      <w:r>
        <w:t xml:space="preserve"> for 5 years, hiring, coaching, and mentoring a high-performing team of 6 Product Managers. Established product culture and development frameworks that increased team velocity and retention.</w:t>
      </w:r>
    </w:p>
    <w:p>
      <w:pPr>
        <w:pStyle w:val="ListBullet"/>
        <w:spacing w:before="0" w:after="50" w:line="276" w:lineRule="auto"/>
        <w:ind w:left="360"/>
      </w:pPr>
      <w:r>
        <w:rPr>
          <w:b/>
        </w:rPr>
        <w:t>Enterprise Product Strategy</w:t>
      </w:r>
      <w:r>
        <w:t>: Directed the lifecycle for a portfolio of 7 investment products (OMS), delivering "white label" trading platforms customized for Tier-1 institutions including Charles Schwab, RBC Bank, and William Blair.</w:t>
      </w:r>
    </w:p>
    <w:p>
      <w:pPr>
        <w:pStyle w:val="ListBullet"/>
        <w:spacing w:before="0" w:after="50" w:line="276" w:lineRule="auto"/>
        <w:ind w:left="360"/>
      </w:pPr>
      <w:r>
        <w:rPr>
          <w:b/>
        </w:rPr>
        <w:t>Risk &amp; Compliance</w:t>
      </w:r>
      <w:r>
        <w:t>: Delivered a comprehensive compliance risk management system that prevented significant financial penalties and restored regulatory standing for key institutional clients.</w:t>
      </w:r>
    </w:p>
    <w:p>
      <w:pPr>
        <w:pStyle w:val="ListBullet"/>
        <w:spacing w:before="0" w:after="50" w:line="276" w:lineRule="auto"/>
        <w:ind w:left="360"/>
      </w:pPr>
      <w:r>
        <w:rPr>
          <w:b/>
        </w:rPr>
        <w:t>Global Expansion</w:t>
      </w:r>
      <w:r>
        <w:t>: Expanded market access by launching international trading and FX capabilities, enabling clients to trade across global markets seamlessly.</w:t>
      </w:r>
    </w:p>
    <w:p>
      <w:pPr>
        <w:keepNext/>
        <w:spacing w:before="160" w:after="40"/>
      </w:pPr>
      <w:r>
        <w:rPr>
          <w:b/>
          <w:color w:val="111827"/>
          <w:sz w:val="20"/>
        </w:rPr>
        <w:t>Senior Product Manager</w:t>
      </w:r>
    </w:p>
    <w:p>
      <w:pPr>
        <w:keepNext/>
        <w:spacing w:before="0" w:after="80"/>
      </w:pPr>
      <w:r>
        <w:rPr>
          <w:color w:val="4B5563"/>
          <w:sz w:val="19"/>
        </w:rPr>
      </w:r>
      <w:r>
        <w:rPr>
          <w:b/>
          <w:color w:val="4B5563"/>
          <w:sz w:val="19"/>
        </w:rPr>
        <w:t>TEKSYSTEMS (Consultant at Broadridge)</w:t>
      </w:r>
      <w:r>
        <w:rPr>
          <w:color w:val="4B5563"/>
          <w:sz w:val="19"/>
        </w:rPr>
        <w:t xml:space="preserve"> — Wheat Ridge, CO | </w:t>
      </w:r>
      <w:r>
        <w:rPr>
          <w:i/>
          <w:color w:val="4B5563"/>
          <w:sz w:val="19"/>
        </w:rPr>
        <w:t>Jan 2010 – Sep 2012</w:t>
      </w:r>
      <w:r>
        <w:rPr>
          <w:color w:val="4B5563"/>
          <w:sz w:val="19"/>
        </w:rPr>
      </w:r>
    </w:p>
    <w:p>
      <w:pPr>
        <w:pStyle w:val="ListBullet"/>
        <w:spacing w:before="0" w:after="50" w:line="276" w:lineRule="auto"/>
        <w:ind w:left="360"/>
      </w:pPr>
      <w:r>
        <w:t>Partnered with engineering/design/data to deliver new features; aligned product decisions to user behavior and market trends.</w:t>
      </w:r>
    </w:p>
    <w:p>
      <w:pPr>
        <w:pStyle w:val="ListBullet"/>
        <w:spacing w:before="0" w:after="50" w:line="276" w:lineRule="auto"/>
        <w:ind w:left="360"/>
      </w:pPr>
      <w:r>
        <w:t>Coordinated with marketing/sales for positioning; led discovery (research, prototyping, validation).</w:t>
      </w:r>
    </w:p>
    <w:p>
      <w:pPr>
        <w:keepNext/>
        <w:spacing w:before="240" w:after="80"/>
        <w:pBdr>
          <w:bottom w:val="single" w:sz="6" w:space="2" w:color="A0A0A0"/>
        </w:pBdr>
      </w:pPr>
      <w:r>
        <w:rPr>
          <w:b/>
          <w:color w:val="1E3A8A"/>
          <w:sz w:val="22"/>
        </w:rPr>
        <w:t>EDUCATION</w:t>
      </w:r>
    </w:p>
    <w:p>
      <w:pPr>
        <w:spacing w:before="0" w:after="80" w:line="276" w:lineRule="auto"/>
      </w:pPr>
      <w:r>
        <w:rPr>
          <w:b/>
        </w:rPr>
        <w:t>B.S., Business Administration (Finance)</w:t>
      </w:r>
      <w:r>
        <w:t xml:space="preserve"> — The Ohio State University, Columbus, OH</w:t>
      </w:r>
    </w:p>
    <w:p>
      <w:pPr>
        <w:keepNext/>
        <w:spacing w:before="240" w:after="80"/>
        <w:pBdr>
          <w:bottom w:val="single" w:sz="6" w:space="2" w:color="A0A0A0"/>
        </w:pBdr>
      </w:pPr>
      <w:r>
        <w:rPr>
          <w:b/>
          <w:color w:val="1E3A8A"/>
          <w:sz w:val="22"/>
        </w:rPr>
        <w:t>CERTIFICATIONS</w:t>
      </w:r>
    </w:p>
    <w:p>
      <w:pPr>
        <w:pStyle w:val="ListBullet"/>
        <w:spacing w:before="0" w:after="50" w:line="276" w:lineRule="auto"/>
        <w:ind w:left="360"/>
      </w:pPr>
      <w:r>
        <w:t>Pragmatic Foundations (Product Management)</w:t>
      </w:r>
    </w:p>
    <w:p>
      <w:pPr>
        <w:pStyle w:val="ListBullet"/>
        <w:spacing w:before="0" w:after="50" w:line="276" w:lineRule="auto"/>
        <w:ind w:left="360"/>
      </w:pPr>
      <w:r>
        <w:t>Former Series 7/63/65</w:t>
      </w:r>
    </w:p>
    <w:p>
      <w:pPr>
        <w:pStyle w:val="ListBullet"/>
        <w:spacing w:before="0" w:after="50" w:line="276" w:lineRule="auto"/>
        <w:ind w:left="360"/>
      </w:pPr>
      <w:r>
        <w:t>Chartered Federal Employee Benefits Consultant</w:t>
      </w:r>
    </w:p>
    <w:p>
      <w:pPr>
        <w:keepNext/>
        <w:spacing w:before="240" w:after="80"/>
        <w:pBdr>
          <w:bottom w:val="single" w:sz="6" w:space="2" w:color="A0A0A0"/>
        </w:pBdr>
      </w:pPr>
      <w:r>
        <w:rPr>
          <w:b/>
          <w:color w:val="1E3A8A"/>
          <w:sz w:val="22"/>
        </w:rPr>
        <w:t>SKILLS</w:t>
      </w:r>
    </w:p>
    <w:p>
      <w:pPr>
        <w:pStyle w:val="ListBullet"/>
        <w:spacing w:before="0" w:after="50" w:line="276" w:lineRule="auto"/>
        <w:ind w:left="360"/>
      </w:pPr>
      <w:r>
        <w:rPr>
          <w:b/>
        </w:rPr>
        <w:t>Product:</w:t>
      </w:r>
      <w:r>
        <w:t xml:space="preserve"> AI Product Management; AI-Native SDLC; 0→1/1→N delivery; Discovery/JTBD; PRDs; Roadmaps &amp; prioritization; KPI ownership; Stakeholder management; GTM enablement</w:t>
      </w:r>
    </w:p>
    <w:p>
      <w:pPr>
        <w:pStyle w:val="ListBullet"/>
        <w:spacing w:before="0" w:after="50" w:line="276" w:lineRule="auto"/>
        <w:ind w:left="360"/>
      </w:pPr>
      <w:r>
        <w:rPr>
          <w:b/>
        </w:rPr>
        <w:t>Platform &amp; APIs:</w:t>
      </w:r>
      <w:r>
        <w:t xml:space="preserve"> API-first productization; Integrations &amp; automation; Validation &amp; exception flows; Migration &amp; data quality</w:t>
      </w:r>
    </w:p>
    <w:p>
      <w:pPr>
        <w:pStyle w:val="ListBullet"/>
        <w:spacing w:before="0" w:after="50" w:line="276" w:lineRule="auto"/>
        <w:ind w:left="360"/>
      </w:pPr>
      <w:r>
        <w:rPr>
          <w:b/>
        </w:rPr>
        <w:t>AI &amp; Analytics:</w:t>
      </w:r>
      <w:r>
        <w:t xml:space="preserve"> LLM-assisted workflows (Claude Code, Kiro IDE); Research synthesis; Funnels/cohorts/retention; KPI dashboards</w:t>
      </w:r>
    </w:p>
    <w:p>
      <w:pPr>
        <w:pStyle w:val="ListBullet"/>
        <w:spacing w:before="0" w:after="50" w:line="276" w:lineRule="auto"/>
        <w:ind w:left="360"/>
      </w:pPr>
      <w:r>
        <w:rPr>
          <w:b/>
        </w:rPr>
        <w:t>Delivery:</w:t>
      </w:r>
      <w:r>
        <w:t xml:space="preserve"> Agile/Scrum; Backlog management (Jira); Cross-functional leadership; Risk &amp; change management</w:t>
      </w:r>
    </w:p>
    <w:p>
      <w:pPr>
        <w:pStyle w:val="ListBullet"/>
        <w:spacing w:before="0" w:after="50" w:line="276" w:lineRule="auto"/>
        <w:ind w:left="360"/>
      </w:pPr>
      <w:r>
        <w:rPr>
          <w:b/>
        </w:rPr>
        <w:t>Tools:</w:t>
      </w:r>
      <w:r>
        <w:t xml:space="preserve"> Jira; Figma; Google Workspace; Slack; Postman; MS Office Suite; Confluence</w:t>
      </w:r>
    </w:p>
    <w:sectPr w:rsidR="00FC693F" w:rsidRPr="0006063C" w:rsidSect="00034616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333333"/>
      <w:sz w:val="19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